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61C5" w:rsidRPr="00242081" w:rsidTr="00CA1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898" w:rsidRPr="00242081" w:rsidRDefault="00CA1898" w:rsidP="000D61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noProof/>
                <w:sz w:val="31"/>
                <w:szCs w:val="31"/>
              </w:rPr>
              <w:drawing>
                <wp:inline distT="0" distB="0" distL="0" distR="0" wp14:anchorId="16126662" wp14:editId="5AEE7007">
                  <wp:extent cx="895350" cy="975932"/>
                  <wp:effectExtent l="0" t="0" r="0" b="0"/>
                  <wp:docPr id="1" name="รูปภาพ 1" descr="https://process3.gprocurement.go.th/egpcommi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commi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C5" w:rsidRPr="00242081" w:rsidRDefault="000D61C5" w:rsidP="000D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เอกสารประกวดราคา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จ้างก่อสร้าง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ด้วยการ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ประกวดราคาอิเล็กทรอนิกส์ (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e-bidding)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CA1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                                 </w:t>
            </w:r>
            <w:r w:rsidR="003E4DA1"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 xml:space="preserve">      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เลขที่ 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๕/๒๕๖๗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CA1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CA1898" w:rsidP="000D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ประกวดราคาจ้างก่อสร้าง</w:t>
            </w:r>
            <w:r w:rsidR="000D61C5"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="000D61C5"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e-bidding)</w:t>
            </w:r>
            <w:r w:rsidR="000D61C5"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CA1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ตามประกาศ 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จังหวัดเพชรบูรณ์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CA1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898" w:rsidRPr="00242081" w:rsidRDefault="000D61C5" w:rsidP="003E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ลงวันที่ 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๒๗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มีนาคม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color w:val="660066"/>
                <w:sz w:val="31"/>
                <w:szCs w:val="31"/>
                <w:cs/>
              </w:rPr>
              <w:t>๒๕๖๗</w:t>
            </w:r>
          </w:p>
        </w:tc>
      </w:tr>
      <w:tr w:rsidR="000D61C5" w:rsidRPr="00242081" w:rsidTr="00CA18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จังหวัดเพชรบูรณ์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โดย สำนักงานสาธารณสุขจังหวัดเพชรบูรณ์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ซึ่งต่อไปนี้เรียกว่า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"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" มีความประสงค์จะ</w:t>
            </w:r>
            <w:r w:rsidR="00CA1898"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ประกวดราคาจ้างก่อสร้าง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ปรับปรุงห้องอุบัติเหตุฉุกเฉิน ที่ โรงพยาบาลวังโป่ง จังหวัดเพชรบูรณ์ ด้วยวิธีประกวดราคาอิเล็กทรอนิกส์ (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e-bidding)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ด้วยวิธีประกวดราคาอิเล็กทรอนิกส์ (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e-bidding)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6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</w:rPr>
                <w:t>Terms of Reference : TOR)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7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8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แบบสัญญาจ้างก่อสร้าง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แบบหนังสือค้ำประกัน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9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หลักประกันสัญญา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hyperlink r:id="rId10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๑.๖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บทนิยาม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11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ผู้ที่มีผลประโยชน์ร่วมกัน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12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13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บัญชีเอกสารส่วนที่ ๑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hyperlink r:id="rId14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บัญชีเอกสารส่วนที่ ๒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๑.๘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hyperlink r:id="rId15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bookmarkStart w:id="0" w:name="_GoBack"/>
        <w:bookmarkEnd w:id="0"/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hyperlink r:id="rId16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แผนการทำงาน</w:t>
              </w:r>
            </w:hyperlink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11078" w:type="dxa"/>
        <w:jc w:val="center"/>
        <w:tblCellSpacing w:w="0" w:type="dxa"/>
        <w:tblInd w:w="1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6"/>
        <w:gridCol w:w="6"/>
        <w:gridCol w:w="6"/>
      </w:tblGrid>
      <w:tr w:rsidR="000D61C5" w:rsidRPr="00242081" w:rsidTr="00242081">
        <w:trPr>
          <w:trHeight w:val="84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="00CA1898"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 xml:space="preserve">             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๒.</w:t>
            </w:r>
            <w:r w:rsidR="00CA1898"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คุณสมบัติของผู้ยื่นข้อเสนอ</w:t>
            </w:r>
          </w:p>
        </w:tc>
      </w:tr>
      <w:tr w:rsidR="000D61C5" w:rsidRPr="00242081" w:rsidTr="00242081">
        <w:trPr>
          <w:trHeight w:val="87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="00CA1898"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       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มีความสามารถตามกฎหมาย</w:t>
            </w:r>
          </w:p>
        </w:tc>
      </w:tr>
      <w:tr w:rsidR="000D61C5" w:rsidRPr="00242081" w:rsidTr="00242081">
        <w:trPr>
          <w:trHeight w:val="84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="00CA1898"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       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ไม่เป็นบุคคลล้มละลาย</w:t>
            </w:r>
          </w:p>
        </w:tc>
      </w:tr>
      <w:tr w:rsidR="000D61C5" w:rsidRPr="00242081" w:rsidTr="00242081">
        <w:trPr>
          <w:trHeight w:val="84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="00CA1898"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       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ไม่อยู่ระหว่างเลิกกิจการ</w:t>
            </w:r>
          </w:p>
        </w:tc>
      </w:tr>
      <w:tr w:rsidR="000D61C5" w:rsidRPr="00242081" w:rsidTr="00242081">
        <w:trPr>
          <w:trHeight w:val="87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898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="00CA1898"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       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</w:t>
            </w:r>
            <w:r w:rsidR="00CA1898"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</w:t>
            </w:r>
          </w:p>
          <w:p w:rsidR="00983D0C" w:rsidRPr="00242081" w:rsidRDefault="00CA1898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          </w:t>
            </w:r>
            <w:r w:rsidR="000D61C5"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เนื่องจากเป็นผู้ที่ไม่ผ่านเกณฑ์การประเมินผลการปฏิบัติงานของผู้ประกอบการตามระเบียบ ที่รัฐมนตรีว่าการ</w:t>
            </w:r>
            <w:r w:rsidR="00983D0C"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</w:t>
            </w:r>
          </w:p>
          <w:p w:rsidR="000D61C5" w:rsidRPr="00242081" w:rsidRDefault="00983D0C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             </w:t>
            </w:r>
            <w:r w:rsidR="000D61C5"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  <w:p w:rsidR="00722048" w:rsidRPr="00242081" w:rsidRDefault="00722048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>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๒.๖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นุเบกษา</w:t>
            </w:r>
            <w:proofErr w:type="spellEnd"/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๒.๘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 การแข่งขันอย่างเป็นธรรมในการประกวดราคาอิเล็กทรอนิกส์ครั้งนี้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 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60" w:type="dxa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๒.๑๐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ผู้ยื่นข้อเสนอต้องมีผลงานก่อสร้างประเภทเดียวกันกับผลงานที่ประกวดราคาจ้าง ก่อสร้างในวงเงินไม่น้อยกว่า ๑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๕๐๐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๐๐๐.๐๐ บาท (หนึ่งล้านห้าแสนบาทถ้วน) และเป็นผลงานที่เป็นคู่สัญญาโดยตรงกับหน่วยงานของรัฐ หรือหน่วยงานเอกชนที่ จังหวัดเพชรบูรณ์ เชื่อถือ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๒.๑๑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กิจการร่วมค้าที่ยื่นข้อเสนอในรูปแบบของ "กิจการร่วมค้า" ต้องมีคุณสมบัติดังนี้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หรือหนังสือเชิญชวน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 ในนามกิจการร่วมค้า การยื่นข้อเสนอดังกล่าวไม่ต้องมีหนังสือมอบอำนาจ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 ในนามกิจการร่วมค้า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๒.๑๒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ผู้ยื่นข้อเสนอต้องลงทะเบียนที่มีข้อมูลถูกต้องครบถ้วนในระบบจัดซื้อจัดจ้างภาครัฐด้วย อิเล็กทรอนิกส์ (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Electronic Government Procurement : e-GP)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ของกรมบัญชีกลาง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60" w:type="dxa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60" w:type="dxa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242081">
        <w:trPr>
          <w:trHeight w:val="339"/>
          <w:tblCellSpacing w:w="0" w:type="dxa"/>
          <w:jc w:val="center"/>
        </w:trPr>
        <w:tc>
          <w:tcPr>
            <w:tcW w:w="1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๒.๑๓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ผู้ยื่นข้อเสนอต้องมีมูลค่าสุทธิของกิจการ เป็นไปตามหนังสือคณะกรรมการวินิจฉัยปัญหาการจัดซื้อจัดจ้างและการบริหารพัสดุภาครัฐ ด่วนที่สุด ที่ 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กค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กวจ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) ที่ ๐๔๐๕.๒/ว๑๒๔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ลงวันที่ ๑ มีนาคม ๒๕๖๖ ดังนี้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 กรณีผู้ยื่นข้อเสนอเป็นนิติบุคคลที่จัดตั้งขึ้นตามกฎหมายไทยซึ่งได้จดทะเบียนเกินกว่า ๑ ปี ต้องมีมูลค่าสุทธิของกิจการ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๑ ปีสุดท้ายก่อนวันยื่นข้อเสนอ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โดยผู้ยื่นข้อเสนอจะต้องมีทุนจดทะเบียนที่เรียกชำระมูลค่าหุ้นแล้ว ณ วันที่ยื่นข้อเสนอ ดังนี้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 มูลค่าการจัดซื้อจัดจ้างไม่เกิน ๑ ล้านบาท ไม่ต้องกำหนดทุนจดทะเบียน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 มูลค่าการจัดซื้อจัดจ้างเกิน ๑ ล้านบาท แต่ไม่เกิน ๕ ล้านบาท ต้องมีทุนจดทะเบียนไม่ต่ำกว่า ๑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 มูลค่าการจัดซื้อจัดจ้างเกิน ๕ ล้านบาท แต่ไม่เกิน ๑๐ ล้านบาท ต้องมีทุนจดทะเบียนไม่ต่ำกว่า ๒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(๔) มูลค่าการจัดซื้อจัดจ้างเกิน ๑๐ ล้านบาท แต่ไม่เกิน ๒๐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ต้องมีทุนจดทะเบียนไม่ต่ำกว่า ๓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(๕) มูลค่าการจัดซื้อจัดจ้างเกิน ๒๐ ล้านบาท แต่ไม่เกิน ๖๐ ล้านบาท ต้องมีทุนจดทะเบียนไม่ต่ำกว่า ๘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(๖) มูลค่าการจัดซื้อจัดจ้างเกิน ๖๐ ล้านบาท แต่ไม่เกิน ๑๕๐ ล้านบาท ต้องมีทุนจดทะเบียนไม่ต่ำกว่า ๒๐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(๗) มูลค่าการจัดซื้อจัดจ้างเกิน ๑๕๐ ล้านบาท แต่ไม่เกิน ๓๐๐ ล้านบาท ต้องมีทุนจดทะเบียนไม่ต่ำกว่า ๖๐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(๘) มูลค่าการจัดซื้อจัดจ้างเกิน ๓๐๐ ล้านบาท แต่ไม่เกิน ๕๐๐ ล้านบาท ต้องมีทุนจดทะเบียนไม่ต่ำกว่า ๑๐๐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(๙) มูลค่าการจัดซื้อจัดจ้างเกิน ๕๐๐ ล้านบาทขึ้นไป ต้องมีทุนจดทะเบียนไม่ต่ำกว่า ๒๐๐ ล้านบาท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 สำหรับการจัดซื้อจัดจ้างครั้งหนึ่งที่มีวงเงินเกิน ๕๐๐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๐๐๐ บาทขึ้นไป กรณีผู้ยื่นข้อเสนอเป็นบุคคลธรรมดา โดยพิจารณาจากหนังสือรับรองบัญชีเงินฝาก ไม่เกิน ๙๐ วันก่อนวันยื่นข้อเสนอ โดยต้องมีเงินฝากคงเหลือในบัญชีธนาคารเป็นมูลค่า ๑ ใน ๔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บัญชีเงินฝากที่มีมูลค่าดังกล่าวอีกครั้งหนึ่งในวันลงนามในสัญญ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 กรณีที่ผู้ยื่นข้อเสนอไม่มีมูลค่าสุทธิของกิจการหรือทุนจดทะเบียน หรือมีแต่ไม่เพียงพอที่จะ เข้ายื่นข้อเสนอ ผู้ยื่นข้อเสนอสามารถขอวงเงินสินเชื่อ โดยต้องมีวงเงินสินเชื่อ ๑ ใน ๔ ของมูลค่างบประมาณของโครงการหรือรายการที่ยื่นข้อเสนอในครั้งนั้น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 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 กรณีตาม (๑) - (๔) ยกเว้นสำหรับกรณีดังต่อไปนี้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(๕.๑) กรณีที่ผู้ยื่นข้อเสนอเป็นหน่วยงานของรัฐ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(๕.๒)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๑๐) พ.ศ. ๒๕๖๑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(๕.๓) งานจ้างก่อสร้าง 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 ก่อนวันที่พระราชบัญญัติการจัดซื้อจัดจ้างและการบริหารพัสดุภาครัฐมีผลใช้บังคับ</w:t>
            </w: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60" w:type="dxa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242081">
        <w:trPr>
          <w:trHeight w:val="29"/>
          <w:tblCellSpacing w:w="0" w:type="dxa"/>
          <w:jc w:val="center"/>
        </w:trPr>
        <w:tc>
          <w:tcPr>
            <w:tcW w:w="11060" w:type="dxa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199"/>
        <w:gridCol w:w="3116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๓.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หลักฐานการยื่นข้อเสนอ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 จัดจ้างภาครัฐด้วยอิเล็กทรอนิกส์ โดยแยกเป็น ๒ ส่วน คือ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๓.๑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ส่วนที่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อย่างน้อยต้องมีเอกสารดังต่อไปนี้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ในกรณีผู้ยื่นข้อเสนอเป็นนิติบุคคล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(ก)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(ข)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ผู้ยื่นข้อเสนอต้องแสดงหลักฐานเกี่ยวกับมูลค่าสุทธิของกิจการ ดังนี้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(๔.๑) ในกรณีผู้ยื่นข้อเสนอเป็นนิติบุคคล ให้ยื่นงบแสดงฐานะการเงินที่มีการรับรองแล้ว ๑ ปีสุดท้ายก่อนวันยื่นข้อเสนอ โดยให้ยื่นขณะเข้าเสนอราคา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(๔.๒) ในกรณีผู้ยื่นข้อเสนอเป็นบุคคลธรรมดา ให้ยื่นหนังสือรับรองบัญชีเงินฝาก ไม่เกิน ๙๐ วัน ก่อนวันยื่นข้อเสนอ โดยให้ยื่นขณะเข้าเสนอราคา และจะต้องแสดงหนังสือรับรองบัญชีเงินฝากที่มีมูลค่าดังกล่าวอีกครั้งหนึ่งในวันลงนามในสัญญา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(๔.๓) กรณีที่ผู้ยื่นข้อเสนอไม่มีมูลค่าสุทธิของกิจการและทุนจดทะเบียน หรือมีแต่ไม่เพียงพอที่จะเข้ายื่นข้อเสนอ ให้ยื่นสำเนาหนังสือรับรองวงเงินสินเชื่อ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 นับถึงวันยื่นข้อเสนอไม่เกิน ๙๐ วัน)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PDF File (Portable Document Format)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PDF File (Portable Document Format)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๓.๒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ส่วนที่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๒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อย่างน้อยต้องมีเอกสารดังต่อไปนี้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สำเนาหนังสือรับรองผลงานก่อสร้าง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SMEs) (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ถ้ามี)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PDF File (Portable Document Format)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PDF File (Portable Document Format)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191"/>
        <w:gridCol w:w="3060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๔.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การเสนอราคา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 โดยไม่ต้องแนบใบเสนอราคาในรูปแบบ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PDF File (Portable Document Format)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ให้ผู้ยื่นข้อเสนอกรอกรายละเอียดการเสนอราคาในใบเสนอราคาตามแนบเอกสารประกวดราคาจ้างก่อสร้างด้วยวิธีประกวดราคาคาอิเล็กทรอนิกส์ (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e-bidding)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ข้อ ๑.๒ ให้ครบถ้วน โดยไม่ต้องยื่น ใบแจ้งปริมาณงานและราคาและใบบัญชีรายการก่อสร้าง ในรูปแบบ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PDF File (Portable Document Format)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ในการเสนอราคาให้เสนอราคาเป็นเงิน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บาท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ราคาที่เสนอจะต้องเสนอกำหนดยืนราคาไม่น้อยกว่า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๑๕๐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ผู้ยื่นข้อเสนอจะต้องเสนอกำหนดเวลาดำเนินการก่อสร้างแล้วเสร็จไม่เกิน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๑๕๐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วัน นับถัดจากวันลงนามในสัญญาจ้าง หรือวันที่ได้รับหนังสือแจ้งจาก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ให้เริ่มทำงาน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ก่อนเสนอราคา ผู้ยื่นข้อเสนอควรตรวจดูร่างสัญญา </w:t>
            </w:r>
            <w:hyperlink r:id="rId17" w:tgtFrame="_blank" w:history="1"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  <w:cs/>
                </w:rPr>
                <w:t>ร่างรายละเอียดขอบเขตของงานทั้งโครงการ (</w:t>
              </w:r>
              <w:r w:rsidRPr="00242081">
                <w:rPr>
                  <w:rFonts w:ascii="TH Sarabun New" w:eastAsia="Times New Roman" w:hAnsi="TH Sarabun New" w:cs="TH Sarabun New"/>
                  <w:color w:val="660066"/>
                  <w:sz w:val="31"/>
                  <w:szCs w:val="31"/>
                  <w:u w:val="single"/>
                </w:rPr>
                <w:t>Terms of Reference : TOR)</w:t>
              </w:r>
            </w:hyperlink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ผู้ยื่นข้อเสนอจะต้องยื่นข้อเสนอและเสนอราคาทางระบบจัดซื้อจัดจ้างภาครัฐ ด้วย อิเล็กทรอนิกส์ในวันที่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๔ เมษายน ๒๕๖๗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ระหว่างเวลา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๐๙.๐๐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น.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ถึง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๑๒.๐๐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น.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 และการเสนอราคาใดๆ โดยเด็ดขาด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๔.๖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ผู้ยื่นข้อเสนอต้องจัดทำเอกสารสำหรับใช้ในการเสนอราคาในรูปแบบไฟล์เอกสาร ประเภท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PDF File (Portable Document Format)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PDF File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ก่อนที่จะยืนยันการเสนอราคา แล้วจึงส่งข้อมูล (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Upload)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เพื่อเป็นการเสนอราคาให้แก่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คณะกรรมการพิจารณาผลการประกวดราคาอิเล็กทรอนิกส์จะดำเนินการตรวจสอบ 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 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 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จะพิจารณาเห็นว่า 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๔.๘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ผู้ยื่นข้อเสนอจะต้องปฏิบัติ ดังนี้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(๕)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www.gprocurement.go.th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คู่สัญญาต้องจัดทำแผนการทำงานมาให้ภายใน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วัน นับถัดจากวันลงนามในสัญญา โดยจัดทำแผนการทำงานตามเอกสารแนบท้ายเอกสารประกวดราคาอิเล็กทรอนิกส์ เว้นแต่เป็นกรณีสัญญาที่มีวงเงินไม่เกิน ๕๐๐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๐๐๐ บาททั้งนี้ แผนการทำงานให้ถือเป็นเอกสารส่วนหนึ่งของสัญญา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๔.๑๐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ที่เป็นผู้ชนะการเสนอราคาต้องจัดทำแผนการใช้พัสดุที่ผลิตในประเทศและแผนการใช้เหล็กที่ผลิต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๕.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หลักเกณฑ์และสิทธิในการพิจารณา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จะพิจารณาตัดสินโดยใช้หลักเกณฑ์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ราคา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การพิจารณาผู้ชนะการยื่นข้อเสนอ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จะพิจารณาจาก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ราคารวม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 ต่อผู้ยื่นข้อเสนอรายอื่น หรือเป็นการผิดพลาดเล็กน้อย คณะกรรมการฯ อาจพิจารณาผ่อนปรนการตัดสิทธิ ผู้ยื่นข้อเสนอรายนั้น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ไม่กรอกชื่อผู้ยื่นข้อเสนอในการเสนอราคาทางระบบจัดซื้อจัดจ้าง ด้วยอิเล็กทรอนิกส์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เสนอรายละเอียดแตกต่างไปจากเงื่อนไขที่กำหนดในเอกสารประกวดราคา 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๕.๖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 xml:space="preserve">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เป็นเด็ดขาด ผู้ยื่นข้อเสนอจะเรียกร้องค่าใช้จ่าย หรือค่าเสียหายใดๆ มิได้ รวมทั้ง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ก่อนลงนามในสัญญา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๕.๘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หากผู้ยื่นข้อเสนอซึ่งเป็นผู้ประกอบการ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SMEs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ให้หน่วยงานของรัฐจัดซื้อจัดจ้างกับผู้ประกอบการ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SMEs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SMEs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SMEs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ทั้งนี้ ผู้ประกอบการ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SMEs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ที่จะได้แต้มต่อด้านราคาตามวรรคหนึ่ง จะต้องมีวงเงินสัญญาสะสมตามปีปฏิทินรวมกับราคาที่เสนอในครั้งนี้แล้ว มีมูลค่ารวมกันไม่เกินมูลค่าของรายได้ตามขนาดที่ขึ้นทะเบียนไว้กับ 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สสว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.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๕.๙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หากผู้ยื่นข้อเสนอซึ่งมิใช่ผู้ประกอบการ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SMEs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จัดซื้อจัดจ้างกับ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๖.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การทำสัญญาจ้างก่อสร้าง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ภายใน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เงินสด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เช็คหรือด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ราฟท์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ราฟท์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ลงวันที่ที่ใช้เช็คหรือด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ราฟท์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๖.๕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พันธบัตรรัฐบาลไทย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๗.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ค่าจ้างและการจ่ายเงิน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จังหวัด จะจ่ายค่าจ้างซึ่งได้รวมภาษีมูลค่าเพิ่มตลอดจนภาษีอากรอื่น ๆ และค่าใช้จ่ายทั้งปวงด้วยแล้ว โดยถือราคาเหมารวมเป็นเกณฑ์ และกำหนดการจ่ายเงินเป็นจำนวน ๓ งวด ระยะเวลา ๑๕๐ วัน ดังนี้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งวดที่ ๑ เป็นจำนวนเงินในอัตราร้อยละ ๔๐ ของค่าจ้าง เมื่อผู้รับจ้างได้ปฏิบัติงาน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๑.๑ รื้อปรับปรุงเตรียมพื้นที่เก่า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๑.๒ งาน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สถาปัตย์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พื้นค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สล.ทับหน้าด้วย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อีพ๊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อกซี่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,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พื้นค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สล.ปูกระเบื้อง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งานปรับผิวพื้นห้อง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๑.๓ งานผนัง ผนังก่ออิฐมวลเบา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,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ผนังก่ออิฐมอญ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,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บุกระเบื้องผนัง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,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บุกระเบื้องผนัง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เฟอร์นิเจอร์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บิ้วอิน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ให้แล้วเสร็จภายใน ๖๐ วัน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งวดที่ ๒ เป็นจำนวนเงินในอัตราร้อยละ ๓๐ ของค่าจ้าง เมื่อผู้รับจ้างได้ปฏิบัติงาน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๒.๑ ฝ้าเพดาน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ยิปซั่ม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บอร์ด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๒.๒ งานประตู+หน้าต่าง (รวมอุปกรณ์)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๒.๓ งานสุขภัณฑ์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๒.๔ งานทาสี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ให้แล้วเสร็จภายใน ๖๐ วัน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งวดที่ ๓ (งวดสุดท้าย) เป็นจำนวนเงินในอัตราร้อยละ ๓๐ ของค่าจ้าง เมื่อผู้รับจ้างได้ปฏิบัติงาน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๓.๑ งานเฟอร์นิเจอร์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บิ้วอิน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๓.๒ งานเฟอร์นิเจอร์ลอยตัว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๓.๓ งานครุภัณฑ์ทางการแพทย์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๓.๔ ทำความสะอาดภายใน และรอบบริเวณและได้ก่อสร้างรายการต่าง ๆ ทั้งหมดแล้วเสร็จ ครบถ้วน ถูกต้องตามรูปแบบรายการและสัญญาทุกประการ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รวมทั้งทำสถานที่ก่อสร้างให้สะอาดเรียบร้อย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ให้แล้วเสร็จภายใน ๓๐ วัน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๘.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อัตราค่าปรับ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๘.๑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จะกำหนดค่าปรับสำหรับการฝ่าฝืนดังกล่าว เป็นจำนวนร้อยละ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๑๐.๐๐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ของวงเงินของงานจ้างช่วงนั้น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๘.๒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 xml:space="preserve">รายวัน เป็นจำนวนเงินตายตัวในอัตราร้อยละ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๐.๑๐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ของราคางานจ้าง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๙.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การรับประกันความชำรุดบกพร่อง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๒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ปี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นับถัดจากวันที่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0D61C5" w:rsidRPr="00242081" w:rsidRDefault="000D61C5" w:rsidP="000D61C5">
      <w:pPr>
        <w:spacing w:after="0" w:line="240" w:lineRule="auto"/>
        <w:rPr>
          <w:rFonts w:ascii="Times New Roman" w:eastAsia="Times New Roman" w:hAnsi="Times New Roman" w:cs="Times New Roman"/>
          <w:vanish/>
          <w:sz w:val="31"/>
          <w:szCs w:val="3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2"/>
      </w:tblGrid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๑๐.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ข้อสงวนสิทธิในการยื่นข้อเสนอและอื่น ๆ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เงินค่าจ้างสำหรับงานจ้างครั้งนี้ ได้มาจาก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งบเงินกันระดับเขต จากงบเหมาจ่ายรายหัว ปีงบประมาณ ๒๕๖๔ (ลักษณะจ่ายขาด) เป็นจำนวนเงิน ๓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 บาท (สามล้านบาทถ้วน)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การลงนามในสัญญาจะกระทำได้ต่อเมื่อ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ได้รับอนุมัติเงิน ค่าก่อสร้างจาก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งบเงินกันระดับเขต จากงบเหมาจ่ายรายหัว ปีงบประมาณ ๒๕๖๔ (ลักษณะจ่ายขาด) เป็นจำนวนเงิน ๓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,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๐๐๐ บาท (สามล้านบาทถ้วน)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เมื่อ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พาณิชย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นาวี ดังนี้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 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พาณิชย</w:t>
            </w:r>
            <w:proofErr w:type="spellEnd"/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นาวี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๑๐.๓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ผู้ยื่นข้อเสนอซึ่ง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๑๐.๕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คำวินิจฉัยดังกล่าวให้ถือเป็นที่สุด และ ผู้ยื่นข้อเสนอไม่มีสิทธิเรียกร้องค่าใช้จ่ายใดๆ เพิ่มเติม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๑๐.๖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ไม่ได้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(๑)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 จะทำการจัดจ้างครั้งนี้ต่อไป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(๒)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มีการกระทำที่เข้าลักษณะผู้ยื่นข้อเสนอที่ชนะการจัดจ้างหรือที่ได้รับการคัดเลือกมี 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(๓)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การทำการจัดจ้างครั้งนี้ต่อไปอาจก่อให้เกิดความเสียหายแก่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หรือกระทบต่อประโยชน์สาธารณะ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(๔)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กรณีอื่นในทำนองเดียวกับ (๑) (๒) หรือ (๓) ตามที่กำหนดในกฎกระทรวงซึ่งออกตามความในกฎหมายว่าด้วย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lastRenderedPageBreak/>
              <w:t>การจัดซื้อจัดจ้างและการบริหารพัสดุภาครัฐ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lastRenderedPageBreak/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๑๑.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การปรับราคาค่างานก่อสร้าง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นร</w:t>
            </w:r>
            <w:proofErr w:type="spellEnd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 xml:space="preserve"> ๐๒๐๓/ว ๑๐๙ ลงวันที่ ๒๔ สิงหาคม ๒๕๓๒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สูตรการปรับราคา (สูตรค่า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 xml:space="preserve">K) 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๑๒.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มาตรฐานฝีมือช่าง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เมื่อ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ผู้ยื่นข้อเสนอจะต้องตกลงว่าในการปฏิบัติงานก่อสร้างดังกล่าว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 xml:space="preserve">ผู้ยื่นข้อเสนอจะต้องมีและใช้ผู้มีวุฒิบัตรระดับ 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ปวช</w:t>
            </w:r>
            <w:proofErr w:type="spellEnd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 xml:space="preserve">. 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ปวส</w:t>
            </w:r>
            <w:proofErr w:type="spellEnd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. และ</w:t>
            </w:r>
            <w:proofErr w:type="spellStart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ปวท</w:t>
            </w:r>
            <w:proofErr w:type="spellEnd"/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ในอัตราไม่ต่ำกว่าร้อยละ 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๑๐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ของแต่ละสาขาช่างแต่จะต้องมีจำนวนช่างอย่างน้อย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H Sarabun New" w:eastAsia="Times New Roman" w:hAnsi="TH Sarabun New" w:cs="TH Sarabun New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๑๒.๑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ช่างก่อสร้าง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br/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๑๒.๒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ช่างไฟฟ้า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๑๓.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การปฏิบัติตามกฎหมายและระเบียบ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 ตามหลักเกณฑ์ที่กฎหมายและระเบียบได้กำหนดไว้โดยเคร่งครัด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         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๑๔.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</w:rPr>
              <w:t>    </w:t>
            </w:r>
            <w:r w:rsidRPr="00242081">
              <w:rPr>
                <w:rFonts w:ascii="TH Sarabun New" w:eastAsia="Times New Roman" w:hAnsi="TH Sarabun New" w:cs="TH Sarabun New"/>
                <w:b/>
                <w:bCs/>
                <w:sz w:val="31"/>
                <w:szCs w:val="31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 เป็นผู้รับจ้างเพื่อนำมาประเมินผลการปฏิบัติงานของผู้ประกอบการ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sz w:val="31"/>
                <w:szCs w:val="31"/>
              </w:rPr>
              <w:t>                          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ไว้ชั่วคราว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imes New Roman" w:eastAsia="Times New Roman" w:hAnsi="Times New Roman" w:cs="Times New Roman"/>
                <w:sz w:val="31"/>
                <w:szCs w:val="31"/>
              </w:rPr>
              <w:br/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จังหวัดเพชรบูรณ์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  <w:tr w:rsidR="000D61C5" w:rsidRPr="00242081" w:rsidTr="000D61C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1C5" w:rsidRPr="00242081" w:rsidRDefault="000D61C5" w:rsidP="000D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๒๗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มีนาคม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</w:rPr>
              <w:t>  </w:t>
            </w:r>
            <w:r w:rsidRPr="00242081">
              <w:rPr>
                <w:rFonts w:ascii="TH Sarabun New" w:eastAsia="Times New Roman" w:hAnsi="TH Sarabun New" w:cs="TH Sarabun New"/>
                <w:color w:val="660066"/>
                <w:sz w:val="31"/>
                <w:szCs w:val="31"/>
                <w:cs/>
              </w:rPr>
              <w:t>๒๕๖๗</w:t>
            </w:r>
            <w:r w:rsidRPr="00242081">
              <w:rPr>
                <w:rFonts w:ascii="TH Sarabun New" w:eastAsia="Times New Roman" w:hAnsi="TH Sarabun New" w:cs="TH Sarabun New"/>
                <w:sz w:val="31"/>
                <w:szCs w:val="31"/>
                <w:cs/>
              </w:rPr>
              <w:t xml:space="preserve"> </w:t>
            </w:r>
          </w:p>
        </w:tc>
      </w:tr>
    </w:tbl>
    <w:p w:rsidR="009925F1" w:rsidRPr="00242081" w:rsidRDefault="009925F1">
      <w:pPr>
        <w:rPr>
          <w:sz w:val="31"/>
          <w:szCs w:val="31"/>
        </w:rPr>
      </w:pPr>
    </w:p>
    <w:sectPr w:rsidR="009925F1" w:rsidRPr="00242081" w:rsidSect="00242081">
      <w:pgSz w:w="12240" w:h="15840"/>
      <w:pgMar w:top="284" w:right="1418" w:bottom="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5"/>
    <w:rsid w:val="00044B26"/>
    <w:rsid w:val="000D61C5"/>
    <w:rsid w:val="00242081"/>
    <w:rsid w:val="00276AEA"/>
    <w:rsid w:val="003E4DA1"/>
    <w:rsid w:val="00722048"/>
    <w:rsid w:val="00983D0C"/>
    <w:rsid w:val="009925F1"/>
    <w:rsid w:val="00CA1898"/>
    <w:rsid w:val="00E63A91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61C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18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61C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8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18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5.gprocurement.go.th/egp-template-service/FileViewer/8Ip8nF6QQbj%252F5e5GYumxbYQY3i%252BUo%252FvJsvIn1fOjsi4AXEDOETUImBxYDE93RzOBBLCQg%252F3XeKkAhoZLp0WLnxcc5R%252BcrgNqWgXUujVkGgXR5t4sBvS0A1nbUuzk2nQD" TargetMode="External"/><Relationship Id="rId13" Type="http://schemas.openxmlformats.org/officeDocument/2006/relationships/hyperlink" Target="https://process5.gprocurement.go.th/egp-template-service/FileViewer/8Ip8nF6QQbj%252F5e5GYumxbUAgZg4VsT1iZkvZ7QCd057a8L7XIiNFfo6Ple%252FUYT4fh2w3Gexya5fooOGcp0TyFQ7xQPS50TEEJnzAxGvb7ZA%25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5.gprocurement.go.th/egp-template-service/FileViewer/8Ip8nF6QQbj%252F5e5GYumxbUAgZg4VsT1iZkvZ7QCd057a8L7XIiNFfo6Ple%252FUYT4ffPySk8ZTOR0Mrs3r0fFsHdzpzLqyMhUI%252B%252B7fooysVEk%253D" TargetMode="External"/><Relationship Id="rId12" Type="http://schemas.openxmlformats.org/officeDocument/2006/relationships/hyperlink" Target="https://process5.gprocurement.go.th/egp-template-service/FileViewer/8Ip8nF6QQbj%252F5e5GYumxbUAgZg4VsT1iZkvZ7QCd057a8L7XIiNFfo6Ple%252FUYT4fu5cGSdwvmFE0lJlU5dspB2GiIrJzJcZg%252FZGzeHAMFCE%253D" TargetMode="External"/><Relationship Id="rId17" Type="http://schemas.openxmlformats.org/officeDocument/2006/relationships/hyperlink" Target="https://process5.gprocurement.go.th/egp-template-service/FileViewer/UansOR%252B6MmdWUPcWRTpcEELJXpEVMQUt06Bj84J%252F2IRx9kfsrwD0F%252FKUurBesqNpVCLqIYkr68SSVJWHsmW6tfAWAQ8G73lRC2KwHx7TSMs77IfCMEryNfBrg%252FIlTbS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cess5.gprocurement.go.th/egp-template-service/FileViewer/8Ip8nF6QQbj%252F5e5GYumxbUAgZg4VsT1iZkvZ7QCd057a8L7XIiNFfo6Ple%252FUYT4fseSRiO0Ts8iBf39mYBUDiq6QVFt3Vp7D7P6V70vSdwA%25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cess5.gprocurement.go.th/egp-template-service/FileViewer/UansOR%252B6MmdWUPcWRTpcEELJXpEVMQUt06Bj84J%252F2IRx9kfsrwD0F%252FKUurBesqNpVCLqIYkr68SSVJWHsmW6tfAWAQ8G73lRC2KwHx7TSMs77IfCMEryNfBrg%252FIlTbS2" TargetMode="External"/><Relationship Id="rId11" Type="http://schemas.openxmlformats.org/officeDocument/2006/relationships/hyperlink" Target="https://process5.gprocurement.go.th/egp-template-service/FileViewer/8Ip8nF6QQbj%252F5e5GYumxbUAgZg4VsT1iZkvZ7QCd057a8L7XIiNFfo6Ple%252FUYT4fu5cGSdwvmFE0lJlU5dspBx8jvHJwdpaRFaRgn6DN%252F2A%253D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process5.gprocurement.go.th/egp-template-service/FileViewer/8Ip8nF6QQbj%252F5e5GYumxbUAgZg4VsT1iZkvZ7QCd057a8L7XIiNFfo6Ple%252FUYT4fJps2YmDpQz9UMwr4MQnOvngWnc6%252FpPybQrndezsa%252Fma2s86rlYNSXZ4smiE6KJff" TargetMode="External"/><Relationship Id="rId10" Type="http://schemas.openxmlformats.org/officeDocument/2006/relationships/hyperlink" Target="https://process5.gprocurement.go.th/egp-template-service/FileViewer/8Ip8nF6QQbj%252F5e5GYumxbUAgZg4VsT1iZkvZ7QCd057a8L7XIiNFfo6Ple%252FUYT4fTyprzD5mRn9qBNbQTuTn1A5Q5i8IrKNIBTU%252FLxELhdmZssYoD3%252BC16KT8lGHWhP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cess5.gprocurement.go.th/egp-template-service/FileViewer/8Ip8nF6QQbj%252F5e5GYumxbUAgZg4VsT1iZkvZ7QCd057a8L7XIiNFfo6Ple%252FUYT4fRo6AMZnyOR2m8DjC26lJZGc22vowSv1imVIaGgLs%252FTuZssYoD3%252BC16KT8lGHWhP7" TargetMode="External"/><Relationship Id="rId14" Type="http://schemas.openxmlformats.org/officeDocument/2006/relationships/hyperlink" Target="https://process5.gprocurement.go.th/egp-template-service/FileViewer/8Ip8nF6QQbj%252F5e5GYumxbUAgZg4VsT1iZkvZ7QCd057a8L7XIiNFfo6Ple%252FUYT4fh2w3Gexya5fooOGcp0TyFXCzcVCZCSOzBYYfIc7lH9Q%253D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9</cp:revision>
  <cp:lastPrinted>2024-03-26T08:15:00Z</cp:lastPrinted>
  <dcterms:created xsi:type="dcterms:W3CDTF">2024-03-26T07:13:00Z</dcterms:created>
  <dcterms:modified xsi:type="dcterms:W3CDTF">2024-03-26T08:39:00Z</dcterms:modified>
</cp:coreProperties>
</file>